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Charlotte Housing &amp; Neighborhood Programs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House Charlotte - </w:t>
      </w:r>
    </w:p>
    <w:p w:rsidR="00000000" w:rsidDel="00000000" w:rsidP="00000000" w:rsidRDefault="00000000" w:rsidRPr="00000000" w14:paraId="00000005">
      <w:pPr>
        <w:pStyle w:val="Heading2"/>
        <w:keepNext w:val="0"/>
        <w:keepLines w:val="0"/>
        <w:shd w:fill="ffffff" w:val="clear"/>
        <w:spacing w:after="160" w:before="300" w:line="240" w:lineRule="auto"/>
        <w:ind w:left="1440" w:firstLine="0"/>
        <w:rPr>
          <w:b w:val="1"/>
          <w:color w:val="393333"/>
          <w:sz w:val="20"/>
          <w:szCs w:val="20"/>
        </w:rPr>
      </w:pPr>
      <w:bookmarkStart w:colFirst="0" w:colLast="0" w:name="_ls7a7jgenoh7" w:id="0"/>
      <w:bookmarkEnd w:id="0"/>
      <w:r w:rsidDel="00000000" w:rsidR="00000000" w:rsidRPr="00000000">
        <w:rPr>
          <w:b w:val="1"/>
          <w:color w:val="393333"/>
          <w:sz w:val="20"/>
          <w:szCs w:val="20"/>
          <w:rtl w:val="0"/>
        </w:rPr>
        <w:t xml:space="preserve">Program Features:</w:t>
      </w:r>
    </w:p>
    <w:p w:rsidR="00000000" w:rsidDel="00000000" w:rsidP="00000000" w:rsidRDefault="00000000" w:rsidRPr="00000000" w14:paraId="00000006">
      <w:pPr>
        <w:shd w:fill="ffffff" w:val="clear"/>
        <w:spacing w:after="160" w:line="240" w:lineRule="auto"/>
        <w:ind w:left="1440" w:firstLine="0"/>
        <w:rPr>
          <w:color w:val="2a2a2a"/>
          <w:sz w:val="20"/>
          <w:szCs w:val="20"/>
        </w:rPr>
      </w:pPr>
      <w:r w:rsidDel="00000000" w:rsidR="00000000" w:rsidRPr="00000000">
        <w:rPr>
          <w:color w:val="2a2a2a"/>
          <w:sz w:val="20"/>
          <w:szCs w:val="20"/>
          <w:rtl w:val="0"/>
        </w:rPr>
        <w:t xml:space="preserve">The HouseCharlotte program provides 10-year, deferred, forgivable loans to qualified applicants. Funds can be used for downpayment, closing cost or interest rate buy down.</w:t>
      </w:r>
    </w:p>
    <w:p w:rsidR="00000000" w:rsidDel="00000000" w:rsidP="00000000" w:rsidRDefault="00000000" w:rsidRPr="00000000" w14:paraId="00000007">
      <w:pPr>
        <w:numPr>
          <w:ilvl w:val="0"/>
          <w:numId w:val="2"/>
        </w:numPr>
        <w:spacing w:after="0" w:afterAutospacing="0" w:line="240" w:lineRule="auto"/>
        <w:ind w:left="2160" w:hanging="360"/>
        <w:rPr>
          <w:sz w:val="20"/>
          <w:szCs w:val="20"/>
        </w:rPr>
      </w:pPr>
      <w:r w:rsidDel="00000000" w:rsidR="00000000" w:rsidRPr="00000000">
        <w:rPr>
          <w:color w:val="333333"/>
          <w:sz w:val="20"/>
          <w:szCs w:val="20"/>
          <w:rtl w:val="0"/>
        </w:rPr>
        <w:t xml:space="preserve">Funding up to</w:t>
      </w:r>
      <w:r w:rsidDel="00000000" w:rsidR="00000000" w:rsidRPr="00000000">
        <w:rPr>
          <w:b w:val="1"/>
          <w:color w:val="333333"/>
          <w:sz w:val="20"/>
          <w:szCs w:val="20"/>
          <w:rtl w:val="0"/>
        </w:rPr>
        <w:t xml:space="preserve"> $5,000 </w:t>
      </w:r>
      <w:r w:rsidDel="00000000" w:rsidR="00000000" w:rsidRPr="00000000">
        <w:rPr>
          <w:color w:val="333333"/>
          <w:sz w:val="20"/>
          <w:szCs w:val="20"/>
          <w:rtl w:val="0"/>
        </w:rPr>
        <w:t xml:space="preserve">for families with income </w:t>
      </w:r>
      <w:r w:rsidDel="00000000" w:rsidR="00000000" w:rsidRPr="00000000">
        <w:rPr>
          <w:b w:val="1"/>
          <w:color w:val="333333"/>
          <w:sz w:val="20"/>
          <w:szCs w:val="20"/>
          <w:rtl w:val="0"/>
        </w:rPr>
        <w:t xml:space="preserve">above 80%</w:t>
      </w:r>
      <w:r w:rsidDel="00000000" w:rsidR="00000000" w:rsidRPr="00000000">
        <w:rPr>
          <w:color w:val="333333"/>
          <w:sz w:val="20"/>
          <w:szCs w:val="20"/>
          <w:rtl w:val="0"/>
        </w:rPr>
        <w:t xml:space="preserve"> Area Median Income (AMI), up to 110% AMI in certain locations.</w:t>
      </w:r>
    </w:p>
    <w:p w:rsidR="00000000" w:rsidDel="00000000" w:rsidP="00000000" w:rsidRDefault="00000000" w:rsidRPr="00000000" w14:paraId="00000008">
      <w:pPr>
        <w:numPr>
          <w:ilvl w:val="0"/>
          <w:numId w:val="2"/>
        </w:numPr>
        <w:spacing w:after="0" w:afterAutospacing="0" w:line="240" w:lineRule="auto"/>
        <w:ind w:left="2160" w:hanging="360"/>
        <w:rPr>
          <w:sz w:val="20"/>
          <w:szCs w:val="20"/>
        </w:rPr>
      </w:pPr>
      <w:r w:rsidDel="00000000" w:rsidR="00000000" w:rsidRPr="00000000">
        <w:rPr>
          <w:color w:val="333333"/>
          <w:sz w:val="20"/>
          <w:szCs w:val="20"/>
          <w:rtl w:val="0"/>
        </w:rPr>
        <w:t xml:space="preserve">Funding up to </w:t>
      </w:r>
      <w:r w:rsidDel="00000000" w:rsidR="00000000" w:rsidRPr="00000000">
        <w:rPr>
          <w:b w:val="1"/>
          <w:color w:val="333333"/>
          <w:sz w:val="20"/>
          <w:szCs w:val="20"/>
          <w:rtl w:val="0"/>
        </w:rPr>
        <w:t xml:space="preserve">$8,500</w:t>
      </w:r>
      <w:r w:rsidDel="00000000" w:rsidR="00000000" w:rsidRPr="00000000">
        <w:rPr>
          <w:color w:val="333333"/>
          <w:sz w:val="20"/>
          <w:szCs w:val="20"/>
          <w:rtl w:val="0"/>
        </w:rPr>
        <w:t xml:space="preserve"> for families with income at or </w:t>
      </w:r>
      <w:r w:rsidDel="00000000" w:rsidR="00000000" w:rsidRPr="00000000">
        <w:rPr>
          <w:b w:val="1"/>
          <w:color w:val="333333"/>
          <w:sz w:val="20"/>
          <w:szCs w:val="20"/>
          <w:rtl w:val="0"/>
        </w:rPr>
        <w:t xml:space="preserve">below 80% </w:t>
      </w:r>
      <w:r w:rsidDel="00000000" w:rsidR="00000000" w:rsidRPr="00000000">
        <w:rPr>
          <w:color w:val="333333"/>
          <w:sz w:val="20"/>
          <w:szCs w:val="20"/>
          <w:rtl w:val="0"/>
        </w:rPr>
        <w:t xml:space="preserve">AMI</w:t>
      </w:r>
    </w:p>
    <w:p w:rsidR="00000000" w:rsidDel="00000000" w:rsidP="00000000" w:rsidRDefault="00000000" w:rsidRPr="00000000" w14:paraId="00000009">
      <w:pPr>
        <w:numPr>
          <w:ilvl w:val="0"/>
          <w:numId w:val="2"/>
        </w:numPr>
        <w:spacing w:after="160" w:line="240" w:lineRule="auto"/>
        <w:ind w:left="2160" w:hanging="360"/>
        <w:rPr>
          <w:sz w:val="20"/>
          <w:szCs w:val="20"/>
        </w:rPr>
      </w:pPr>
      <w:r w:rsidDel="00000000" w:rsidR="00000000" w:rsidRPr="00000000">
        <w:rPr>
          <w:color w:val="333333"/>
          <w:sz w:val="20"/>
          <w:szCs w:val="20"/>
          <w:rtl w:val="0"/>
        </w:rPr>
        <w:t xml:space="preserve">Funding up to </w:t>
      </w:r>
      <w:r w:rsidDel="00000000" w:rsidR="00000000" w:rsidRPr="00000000">
        <w:rPr>
          <w:b w:val="1"/>
          <w:color w:val="333333"/>
          <w:sz w:val="20"/>
          <w:szCs w:val="20"/>
          <w:rtl w:val="0"/>
        </w:rPr>
        <w:t xml:space="preserve">$17,000</w:t>
      </w:r>
      <w:r w:rsidDel="00000000" w:rsidR="00000000" w:rsidRPr="00000000">
        <w:rPr>
          <w:color w:val="333333"/>
          <w:sz w:val="20"/>
          <w:szCs w:val="20"/>
          <w:rtl w:val="0"/>
        </w:rPr>
        <w:t xml:space="preserve"> for families with income at or </w:t>
      </w:r>
      <w:r w:rsidDel="00000000" w:rsidR="00000000" w:rsidRPr="00000000">
        <w:rPr>
          <w:b w:val="1"/>
          <w:color w:val="333333"/>
          <w:sz w:val="20"/>
          <w:szCs w:val="20"/>
          <w:rtl w:val="0"/>
        </w:rPr>
        <w:t xml:space="preserve">below 80%</w:t>
      </w:r>
      <w:r w:rsidDel="00000000" w:rsidR="00000000" w:rsidRPr="00000000">
        <w:rPr>
          <w:color w:val="333333"/>
          <w:sz w:val="20"/>
          <w:szCs w:val="20"/>
          <w:rtl w:val="0"/>
        </w:rPr>
        <w:t xml:space="preserve"> AMI in select high cost Neighborhood Profile Areas.</w:t>
      </w:r>
    </w:p>
    <w:p w:rsidR="00000000" w:rsidDel="00000000" w:rsidP="00000000" w:rsidRDefault="00000000" w:rsidRPr="00000000" w14:paraId="0000000A">
      <w:pPr>
        <w:pStyle w:val="Heading2"/>
        <w:keepNext w:val="0"/>
        <w:keepLines w:val="0"/>
        <w:shd w:fill="ffffff" w:val="clear"/>
        <w:spacing w:after="160" w:before="300" w:line="240" w:lineRule="auto"/>
        <w:ind w:left="1440" w:firstLine="0"/>
        <w:rPr>
          <w:b w:val="1"/>
          <w:color w:val="393333"/>
          <w:sz w:val="20"/>
          <w:szCs w:val="20"/>
        </w:rPr>
      </w:pPr>
      <w:bookmarkStart w:colFirst="0" w:colLast="0" w:name="_9b05qomlds19" w:id="1"/>
      <w:bookmarkEnd w:id="1"/>
      <w:r w:rsidDel="00000000" w:rsidR="00000000" w:rsidRPr="00000000">
        <w:rPr>
          <w:b w:val="1"/>
          <w:color w:val="393333"/>
          <w:sz w:val="20"/>
          <w:szCs w:val="20"/>
          <w:rtl w:val="0"/>
        </w:rPr>
        <w:t xml:space="preserve">Eligibility:</w:t>
      </w:r>
    </w:p>
    <w:p w:rsidR="00000000" w:rsidDel="00000000" w:rsidP="00000000" w:rsidRDefault="00000000" w:rsidRPr="00000000" w14:paraId="0000000B">
      <w:pPr>
        <w:numPr>
          <w:ilvl w:val="0"/>
          <w:numId w:val="1"/>
        </w:numPr>
        <w:spacing w:after="0" w:afterAutospacing="0" w:line="240" w:lineRule="auto"/>
        <w:ind w:left="2160" w:hanging="360"/>
        <w:rPr>
          <w:sz w:val="20"/>
          <w:szCs w:val="20"/>
        </w:rPr>
      </w:pPr>
      <w:r w:rsidDel="00000000" w:rsidR="00000000" w:rsidRPr="00000000">
        <w:rPr>
          <w:color w:val="333333"/>
          <w:sz w:val="20"/>
          <w:szCs w:val="20"/>
          <w:rtl w:val="0"/>
        </w:rPr>
        <w:t xml:space="preserve">Families with incomes that are 110% or less of the HUD AMI are eligible for assistance.</w:t>
      </w:r>
    </w:p>
    <w:p w:rsidR="00000000" w:rsidDel="00000000" w:rsidP="00000000" w:rsidRDefault="00000000" w:rsidRPr="00000000" w14:paraId="0000000C">
      <w:pPr>
        <w:numPr>
          <w:ilvl w:val="0"/>
          <w:numId w:val="1"/>
        </w:numPr>
        <w:spacing w:after="0" w:afterAutospacing="0" w:line="240" w:lineRule="auto"/>
        <w:ind w:left="2160" w:hanging="360"/>
        <w:rPr>
          <w:sz w:val="20"/>
          <w:szCs w:val="20"/>
        </w:rPr>
      </w:pPr>
      <w:r w:rsidDel="00000000" w:rsidR="00000000" w:rsidRPr="00000000">
        <w:rPr>
          <w:color w:val="333333"/>
          <w:sz w:val="20"/>
          <w:szCs w:val="20"/>
          <w:rtl w:val="0"/>
        </w:rPr>
        <w:t xml:space="preserve">Participants must complete a pre-purchase homebuyer education program.</w:t>
      </w:r>
    </w:p>
    <w:p w:rsidR="00000000" w:rsidDel="00000000" w:rsidP="00000000" w:rsidRDefault="00000000" w:rsidRPr="00000000" w14:paraId="0000000D">
      <w:pPr>
        <w:numPr>
          <w:ilvl w:val="0"/>
          <w:numId w:val="1"/>
        </w:numPr>
        <w:spacing w:after="0" w:afterAutospacing="0" w:line="240" w:lineRule="auto"/>
        <w:ind w:left="2160" w:hanging="360"/>
        <w:rPr>
          <w:sz w:val="20"/>
          <w:szCs w:val="20"/>
        </w:rPr>
      </w:pPr>
      <w:r w:rsidDel="00000000" w:rsidR="00000000" w:rsidRPr="00000000">
        <w:rPr>
          <w:color w:val="333333"/>
          <w:sz w:val="20"/>
          <w:szCs w:val="20"/>
          <w:rtl w:val="0"/>
        </w:rPr>
        <w:t xml:space="preserve">The home must be a family's primary residence and be located in one of designated </w:t>
      </w:r>
      <w:hyperlink r:id="rId6">
        <w:r w:rsidDel="00000000" w:rsidR="00000000" w:rsidRPr="00000000">
          <w:rPr>
            <w:color w:val="884488"/>
            <w:sz w:val="20"/>
            <w:szCs w:val="20"/>
            <w:u w:val="single"/>
            <w:rtl w:val="0"/>
          </w:rPr>
          <w:t xml:space="preserve">HouseCharlotte eligible areas .</w:t>
        </w:r>
      </w:hyperlink>
      <w:r w:rsidDel="00000000" w:rsidR="00000000" w:rsidRPr="00000000">
        <w:rPr>
          <w:color w:val="333333"/>
          <w:sz w:val="20"/>
          <w:szCs w:val="20"/>
          <w:rtl w:val="0"/>
        </w:rPr>
        <w:t xml:space="preserve">​</w:t>
      </w:r>
    </w:p>
    <w:p w:rsidR="00000000" w:rsidDel="00000000" w:rsidP="00000000" w:rsidRDefault="00000000" w:rsidRPr="00000000" w14:paraId="0000000E">
      <w:pPr>
        <w:numPr>
          <w:ilvl w:val="0"/>
          <w:numId w:val="1"/>
        </w:numPr>
        <w:spacing w:after="0" w:afterAutospacing="0" w:line="240" w:lineRule="auto"/>
        <w:ind w:left="2160" w:hanging="360"/>
        <w:rPr>
          <w:sz w:val="20"/>
          <w:szCs w:val="20"/>
        </w:rPr>
      </w:pPr>
      <w:r w:rsidDel="00000000" w:rsidR="00000000" w:rsidRPr="00000000">
        <w:rPr>
          <w:color w:val="333333"/>
          <w:sz w:val="20"/>
          <w:szCs w:val="20"/>
          <w:rtl w:val="0"/>
        </w:rPr>
        <w:t xml:space="preserve">Maximum purchase price of home is $193,000.</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Housing Rehabilitation</w:t>
      </w:r>
    </w:p>
    <w:p w:rsidR="00000000" w:rsidDel="00000000" w:rsidP="00000000" w:rsidRDefault="00000000" w:rsidRPr="00000000" w14:paraId="00000010">
      <w:pPr>
        <w:numPr>
          <w:ilvl w:val="1"/>
          <w:numId w:val="3"/>
        </w:numPr>
        <w:ind w:left="1440" w:hanging="360"/>
        <w:rPr>
          <w:u w:val="none"/>
        </w:rPr>
      </w:pPr>
      <w:r w:rsidDel="00000000" w:rsidR="00000000" w:rsidRPr="00000000">
        <w:rPr>
          <w:rtl w:val="0"/>
        </w:rPr>
        <w:t xml:space="preserve">Safe Home Housing Rehabilitation Program</w:t>
      </w:r>
    </w:p>
    <w:p w:rsidR="00000000" w:rsidDel="00000000" w:rsidP="00000000" w:rsidRDefault="00000000" w:rsidRPr="00000000" w14:paraId="00000011">
      <w:pPr>
        <w:numPr>
          <w:ilvl w:val="0"/>
          <w:numId w:val="4"/>
        </w:numPr>
        <w:shd w:fill="fdfdfd" w:val="clear"/>
        <w:spacing w:after="160" w:line="240" w:lineRule="auto"/>
        <w:ind w:left="2160" w:hanging="360"/>
        <w:rPr>
          <w:sz w:val="20"/>
          <w:szCs w:val="20"/>
          <w:u w:val="none"/>
        </w:rPr>
      </w:pPr>
      <w:r w:rsidDel="00000000" w:rsidR="00000000" w:rsidRPr="00000000">
        <w:rPr>
          <w:color w:val="2a2a2a"/>
          <w:sz w:val="20"/>
          <w:szCs w:val="20"/>
          <w:rtl w:val="0"/>
        </w:rPr>
        <w:t xml:space="preserve">The </w:t>
      </w:r>
      <w:hyperlink r:id="rId7">
        <w:r w:rsidDel="00000000" w:rsidR="00000000" w:rsidRPr="00000000">
          <w:rPr>
            <w:color w:val="884488"/>
            <w:sz w:val="20"/>
            <w:szCs w:val="20"/>
            <w:u w:val="single"/>
            <w:rtl w:val="0"/>
          </w:rPr>
          <w:t xml:space="preserve">Safe Home Housing Rehabilitation Program </w:t>
        </w:r>
      </w:hyperlink>
      <w:r w:rsidDel="00000000" w:rsidR="00000000" w:rsidRPr="00000000">
        <w:rPr>
          <w:color w:val="2a2a2a"/>
          <w:sz w:val="20"/>
          <w:szCs w:val="20"/>
          <w:rtl w:val="0"/>
        </w:rPr>
        <w:t xml:space="preserve">provides grants to low-income homeowners to address needed home repairs. The program seeks to correct code and incipient violations (items in a house that will need to be repaired or replaced in two to three  years) and make general property improvements.  The program serves single-family owner-occupied dwellings. </w:t>
      </w:r>
    </w:p>
    <w:p w:rsidR="00000000" w:rsidDel="00000000" w:rsidP="00000000" w:rsidRDefault="00000000" w:rsidRPr="00000000" w14:paraId="00000012">
      <w:pPr>
        <w:shd w:fill="fdfdfd" w:val="clear"/>
        <w:spacing w:after="160" w:line="240" w:lineRule="auto"/>
        <w:ind w:left="2160" w:firstLine="0"/>
        <w:rPr>
          <w:b w:val="1"/>
          <w:color w:val="2a2a2a"/>
          <w:sz w:val="20"/>
          <w:szCs w:val="20"/>
        </w:rPr>
      </w:pPr>
      <w:r w:rsidDel="00000000" w:rsidR="00000000" w:rsidRPr="00000000">
        <w:rPr>
          <w:b w:val="1"/>
          <w:color w:val="2a2a2a"/>
          <w:sz w:val="20"/>
          <w:szCs w:val="20"/>
          <w:rtl w:val="0"/>
        </w:rPr>
        <w:t xml:space="preserve">Qualifications: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2880" w:right="0" w:hanging="360"/>
        <w:jc w:val="left"/>
        <w:rPr>
          <w:sz w:val="20"/>
          <w:szCs w:val="20"/>
        </w:rPr>
      </w:pPr>
      <w:r w:rsidDel="00000000" w:rsidR="00000000" w:rsidRPr="00000000">
        <w:rPr>
          <w:color w:val="333333"/>
          <w:sz w:val="20"/>
          <w:szCs w:val="20"/>
          <w:rtl w:val="0"/>
        </w:rPr>
        <w:t xml:space="preserve">Residences located within Charlotte city limits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2880" w:right="0" w:hanging="360"/>
        <w:jc w:val="left"/>
        <w:rPr>
          <w:sz w:val="20"/>
          <w:szCs w:val="20"/>
        </w:rPr>
      </w:pPr>
      <w:r w:rsidDel="00000000" w:rsidR="00000000" w:rsidRPr="00000000">
        <w:rPr>
          <w:color w:val="333333"/>
          <w:sz w:val="20"/>
          <w:szCs w:val="20"/>
          <w:rtl w:val="0"/>
        </w:rPr>
        <w:t xml:space="preserve">Single-family homeowners occupying the home, with incomes under 60 percent of the area median income</w:t>
      </w:r>
    </w:p>
    <w:p w:rsidR="00000000" w:rsidDel="00000000" w:rsidP="00000000" w:rsidRDefault="00000000" w:rsidRPr="00000000" w14:paraId="00000015">
      <w:pPr>
        <w:numPr>
          <w:ilvl w:val="1"/>
          <w:numId w:val="3"/>
        </w:numPr>
        <w:ind w:left="1440" w:hanging="360"/>
        <w:rPr>
          <w:u w:val="none"/>
        </w:rPr>
      </w:pPr>
      <w:r w:rsidDel="00000000" w:rsidR="00000000" w:rsidRPr="00000000">
        <w:rPr>
          <w:rtl w:val="0"/>
        </w:rPr>
        <w:t xml:space="preserve">LeadSafe Charlotte</w:t>
      </w:r>
    </w:p>
    <w:p w:rsidR="00000000" w:rsidDel="00000000" w:rsidP="00000000" w:rsidRDefault="00000000" w:rsidRPr="00000000" w14:paraId="00000016">
      <w:pPr>
        <w:shd w:fill="fdfdfd" w:val="clear"/>
        <w:spacing w:after="160" w:line="240" w:lineRule="auto"/>
        <w:ind w:left="2160" w:firstLine="0"/>
        <w:rPr>
          <w:color w:val="2a2a2a"/>
          <w:sz w:val="20"/>
          <w:szCs w:val="20"/>
        </w:rPr>
      </w:pPr>
      <w:r w:rsidDel="00000000" w:rsidR="00000000" w:rsidRPr="00000000">
        <w:rPr>
          <w:color w:val="2a2a2a"/>
          <w:sz w:val="20"/>
          <w:szCs w:val="20"/>
          <w:rtl w:val="0"/>
        </w:rPr>
        <w:t xml:space="preserve">​Applicants eligible for assistance under the LeadSafe Charlotte must:</w:t>
      </w:r>
    </w:p>
    <w:p w:rsidR="00000000" w:rsidDel="00000000" w:rsidP="00000000" w:rsidRDefault="00000000" w:rsidRPr="00000000" w14:paraId="00000017">
      <w:pPr>
        <w:numPr>
          <w:ilvl w:val="0"/>
          <w:numId w:val="7"/>
        </w:numPr>
        <w:spacing w:after="0" w:afterAutospacing="0" w:line="240" w:lineRule="auto"/>
        <w:ind w:left="2880" w:hanging="360"/>
        <w:rPr>
          <w:sz w:val="20"/>
          <w:szCs w:val="20"/>
        </w:rPr>
      </w:pPr>
      <w:r w:rsidDel="00000000" w:rsidR="00000000" w:rsidRPr="00000000">
        <w:rPr>
          <w:color w:val="333333"/>
          <w:sz w:val="20"/>
          <w:szCs w:val="20"/>
          <w:rtl w:val="0"/>
        </w:rPr>
        <w:t xml:space="preserve">Own in a dwelling that was built before 1978</w:t>
      </w:r>
    </w:p>
    <w:p w:rsidR="00000000" w:rsidDel="00000000" w:rsidP="00000000" w:rsidRDefault="00000000" w:rsidRPr="00000000" w14:paraId="00000018">
      <w:pPr>
        <w:numPr>
          <w:ilvl w:val="0"/>
          <w:numId w:val="7"/>
        </w:numPr>
        <w:spacing w:after="0" w:afterAutospacing="0" w:line="240" w:lineRule="auto"/>
        <w:ind w:left="2880" w:hanging="360"/>
        <w:rPr>
          <w:sz w:val="20"/>
          <w:szCs w:val="20"/>
        </w:rPr>
      </w:pPr>
      <w:r w:rsidDel="00000000" w:rsidR="00000000" w:rsidRPr="00000000">
        <w:rPr>
          <w:color w:val="333333"/>
          <w:sz w:val="20"/>
          <w:szCs w:val="20"/>
          <w:rtl w:val="0"/>
        </w:rPr>
        <w:t xml:space="preserve">Have a household income that does not exceed 80 percent of the area median income for the household size (occupant income is evaluated to determine eligibility for rental properties)</w:t>
      </w:r>
    </w:p>
    <w:p w:rsidR="00000000" w:rsidDel="00000000" w:rsidP="00000000" w:rsidRDefault="00000000" w:rsidRPr="00000000" w14:paraId="00000019">
      <w:pPr>
        <w:numPr>
          <w:ilvl w:val="0"/>
          <w:numId w:val="7"/>
        </w:numPr>
        <w:spacing w:after="0" w:afterAutospacing="0" w:line="240" w:lineRule="auto"/>
        <w:ind w:left="2880" w:hanging="360"/>
        <w:rPr>
          <w:sz w:val="20"/>
          <w:szCs w:val="20"/>
        </w:rPr>
      </w:pPr>
      <w:r w:rsidDel="00000000" w:rsidR="00000000" w:rsidRPr="00000000">
        <w:rPr>
          <w:color w:val="333333"/>
          <w:sz w:val="20"/>
          <w:szCs w:val="20"/>
          <w:rtl w:val="0"/>
        </w:rPr>
        <w:t xml:space="preserve">Have a child under the age of six residing or visiting in the home more than six hours a week (owner occupied units) or are currently pregnant</w:t>
      </w:r>
    </w:p>
    <w:p w:rsidR="00000000" w:rsidDel="00000000" w:rsidP="00000000" w:rsidRDefault="00000000" w:rsidRPr="00000000" w14:paraId="0000001A">
      <w:pPr>
        <w:numPr>
          <w:ilvl w:val="0"/>
          <w:numId w:val="7"/>
        </w:numPr>
        <w:spacing w:after="0" w:afterAutospacing="0" w:line="240" w:lineRule="auto"/>
        <w:ind w:left="2880" w:hanging="360"/>
        <w:rPr>
          <w:sz w:val="20"/>
          <w:szCs w:val="20"/>
        </w:rPr>
      </w:pPr>
      <w:r w:rsidDel="00000000" w:rsidR="00000000" w:rsidRPr="00000000">
        <w:rPr>
          <w:color w:val="333333"/>
          <w:sz w:val="20"/>
          <w:szCs w:val="20"/>
          <w:rtl w:val="0"/>
        </w:rPr>
        <w:t xml:space="preserve">Rental units are not required to have children under six present, however, upon unit turnover, the property owner must commit to making the unit available to families with children under six​</w:t>
      </w:r>
    </w:p>
    <w:p w:rsidR="00000000" w:rsidDel="00000000" w:rsidP="00000000" w:rsidRDefault="00000000" w:rsidRPr="00000000" w14:paraId="0000001B">
      <w:pPr>
        <w:numPr>
          <w:ilvl w:val="1"/>
          <w:numId w:val="3"/>
        </w:numPr>
        <w:ind w:left="1440" w:hanging="360"/>
        <w:rPr>
          <w:u w:val="none"/>
        </w:rPr>
      </w:pPr>
      <w:r w:rsidDel="00000000" w:rsidR="00000000" w:rsidRPr="00000000">
        <w:rPr>
          <w:rtl w:val="0"/>
        </w:rPr>
        <w:t xml:space="preserve">Safe Home Emergency Repair Program</w:t>
      </w:r>
    </w:p>
    <w:p w:rsidR="00000000" w:rsidDel="00000000" w:rsidP="00000000" w:rsidRDefault="00000000" w:rsidRPr="00000000" w14:paraId="0000001C">
      <w:pPr>
        <w:shd w:fill="fdfdfd" w:val="clear"/>
        <w:spacing w:after="160" w:line="240" w:lineRule="auto"/>
        <w:ind w:left="2160" w:firstLine="0"/>
        <w:rPr>
          <w:b w:val="1"/>
          <w:color w:val="2a2a2a"/>
          <w:sz w:val="20"/>
          <w:szCs w:val="20"/>
        </w:rPr>
      </w:pPr>
      <w:r w:rsidDel="00000000" w:rsidR="00000000" w:rsidRPr="00000000">
        <w:rPr>
          <w:b w:val="1"/>
          <w:color w:val="2a2a2a"/>
          <w:sz w:val="20"/>
          <w:szCs w:val="20"/>
          <w:rtl w:val="0"/>
        </w:rPr>
        <w:t xml:space="preserve">Qualifications:  </w:t>
      </w:r>
    </w:p>
    <w:p w:rsidR="00000000" w:rsidDel="00000000" w:rsidP="00000000" w:rsidRDefault="00000000" w:rsidRPr="00000000" w14:paraId="0000001D">
      <w:pPr>
        <w:numPr>
          <w:ilvl w:val="0"/>
          <w:numId w:val="6"/>
        </w:numPr>
        <w:spacing w:after="0" w:afterAutospacing="0" w:line="240" w:lineRule="auto"/>
        <w:ind w:left="2880" w:hanging="360"/>
        <w:rPr>
          <w:sz w:val="20"/>
          <w:szCs w:val="20"/>
        </w:rPr>
      </w:pPr>
      <w:r w:rsidDel="00000000" w:rsidR="00000000" w:rsidRPr="00000000">
        <w:rPr>
          <w:color w:val="333333"/>
          <w:sz w:val="20"/>
          <w:szCs w:val="20"/>
          <w:rtl w:val="0"/>
        </w:rPr>
        <w:t xml:space="preserve">Residences located within Charlotte city limits</w:t>
      </w:r>
    </w:p>
    <w:p w:rsidR="00000000" w:rsidDel="00000000" w:rsidP="00000000" w:rsidRDefault="00000000" w:rsidRPr="00000000" w14:paraId="0000001E">
      <w:pPr>
        <w:numPr>
          <w:ilvl w:val="0"/>
          <w:numId w:val="6"/>
        </w:numPr>
        <w:spacing w:after="160" w:line="240" w:lineRule="auto"/>
        <w:ind w:left="2880" w:hanging="360"/>
        <w:rPr>
          <w:sz w:val="20"/>
          <w:szCs w:val="20"/>
        </w:rPr>
      </w:pPr>
      <w:r w:rsidDel="00000000" w:rsidR="00000000" w:rsidRPr="00000000">
        <w:rPr>
          <w:color w:val="333333"/>
          <w:sz w:val="20"/>
          <w:szCs w:val="20"/>
          <w:rtl w:val="0"/>
        </w:rPr>
        <w:t xml:space="preserve">Single-family homeowners occupying the home, who certify they do not have cash on hand to complete the needed repairs</w:t>
      </w:r>
    </w:p>
    <w:p w:rsidR="00000000" w:rsidDel="00000000" w:rsidP="00000000" w:rsidRDefault="00000000" w:rsidRPr="00000000" w14:paraId="0000001F">
      <w:pPr>
        <w:shd w:fill="fdfdfd" w:val="clear"/>
        <w:spacing w:after="160" w:line="240" w:lineRule="auto"/>
        <w:ind w:left="2160" w:firstLine="0"/>
        <w:rPr>
          <w:b w:val="1"/>
          <w:color w:val="2a2a2a"/>
          <w:sz w:val="20"/>
          <w:szCs w:val="20"/>
        </w:rPr>
      </w:pPr>
      <w:r w:rsidDel="00000000" w:rsidR="00000000" w:rsidRPr="00000000">
        <w:rPr>
          <w:b w:val="1"/>
          <w:color w:val="2a2a2a"/>
          <w:sz w:val="20"/>
          <w:szCs w:val="20"/>
          <w:rtl w:val="0"/>
        </w:rPr>
        <w:t xml:space="preserve">Application period:</w:t>
      </w:r>
    </w:p>
    <w:p w:rsidR="00000000" w:rsidDel="00000000" w:rsidP="00000000" w:rsidRDefault="00000000" w:rsidRPr="00000000" w14:paraId="00000020">
      <w:pPr>
        <w:numPr>
          <w:ilvl w:val="0"/>
          <w:numId w:val="5"/>
        </w:numPr>
        <w:spacing w:after="0" w:afterAutospacing="0" w:line="240" w:lineRule="auto"/>
        <w:ind w:left="2880" w:hanging="360"/>
        <w:rPr>
          <w:sz w:val="20"/>
          <w:szCs w:val="20"/>
        </w:rPr>
      </w:pPr>
      <w:r w:rsidDel="00000000" w:rsidR="00000000" w:rsidRPr="00000000">
        <w:rPr>
          <w:color w:val="333333"/>
          <w:sz w:val="20"/>
          <w:szCs w:val="20"/>
          <w:rtl w:val="0"/>
        </w:rPr>
        <w:t xml:space="preserve">For heating repairs, Nov. 1- March 30</w:t>
      </w:r>
    </w:p>
    <w:p w:rsidR="00000000" w:rsidDel="00000000" w:rsidP="00000000" w:rsidRDefault="00000000" w:rsidRPr="00000000" w14:paraId="00000021">
      <w:pPr>
        <w:numPr>
          <w:ilvl w:val="0"/>
          <w:numId w:val="5"/>
        </w:numPr>
        <w:spacing w:after="160" w:line="240" w:lineRule="auto"/>
        <w:ind w:left="2880" w:hanging="360"/>
        <w:rPr>
          <w:sz w:val="20"/>
          <w:szCs w:val="20"/>
        </w:rPr>
      </w:pPr>
      <w:r w:rsidDel="00000000" w:rsidR="00000000" w:rsidRPr="00000000">
        <w:rPr>
          <w:color w:val="333333"/>
          <w:sz w:val="20"/>
          <w:szCs w:val="20"/>
          <w:rtl w:val="0"/>
        </w:rPr>
        <w:t xml:space="preserve">For all other emergencies:  Year-round</w:t>
      </w:r>
    </w:p>
    <w:p w:rsidR="00000000" w:rsidDel="00000000" w:rsidP="00000000" w:rsidRDefault="00000000" w:rsidRPr="00000000" w14:paraId="00000022">
      <w:pPr>
        <w:spacing w:after="160" w:line="240" w:lineRule="auto"/>
        <w:ind w:left="720" w:firstLine="0"/>
        <w:rPr>
          <w:color w:val="333333"/>
          <w:sz w:val="20"/>
          <w:szCs w:val="20"/>
        </w:rPr>
      </w:pPr>
      <w:r w:rsidDel="00000000" w:rsidR="00000000" w:rsidRPr="00000000">
        <w:rPr>
          <w:rtl w:val="0"/>
        </w:rPr>
      </w:r>
    </w:p>
    <w:p w:rsidR="00000000" w:rsidDel="00000000" w:rsidP="00000000" w:rsidRDefault="00000000" w:rsidRPr="00000000" w14:paraId="00000023">
      <w:pPr>
        <w:numPr>
          <w:ilvl w:val="1"/>
          <w:numId w:val="3"/>
        </w:numPr>
        <w:ind w:left="1440" w:hanging="360"/>
        <w:rPr>
          <w:color w:val="0000ff"/>
          <w:sz w:val="20"/>
          <w:szCs w:val="20"/>
        </w:rPr>
      </w:pPr>
      <w:r w:rsidDel="00000000" w:rsidR="00000000" w:rsidRPr="00000000">
        <w:rPr>
          <w:color w:val="0000ff"/>
          <w:sz w:val="20"/>
          <w:szCs w:val="20"/>
          <w:rtl w:val="0"/>
        </w:rPr>
        <w:t xml:space="preserve">Targeted Rehabilitation</w:t>
      </w:r>
      <w:r w:rsidDel="00000000" w:rsidR="00000000" w:rsidRPr="00000000">
        <w:rPr>
          <w:b w:val="1"/>
          <w:color w:val="0000ff"/>
          <w:sz w:val="20"/>
          <w:szCs w:val="20"/>
          <w:u w:val="single"/>
          <w:rtl w:val="0"/>
        </w:rPr>
        <w:t xml:space="preserve"> Pilot Program</w:t>
      </w:r>
    </w:p>
    <w:p w:rsidR="00000000" w:rsidDel="00000000" w:rsidP="00000000" w:rsidRDefault="00000000" w:rsidRPr="00000000" w14:paraId="00000024">
      <w:pPr>
        <w:numPr>
          <w:ilvl w:val="2"/>
          <w:numId w:val="3"/>
        </w:numPr>
        <w:ind w:left="2160" w:hanging="360"/>
        <w:rPr>
          <w:color w:val="0000ff"/>
          <w:sz w:val="20"/>
          <w:szCs w:val="20"/>
        </w:rPr>
      </w:pPr>
      <w:r w:rsidDel="00000000" w:rsidR="00000000" w:rsidRPr="00000000">
        <w:rPr>
          <w:color w:val="0000ff"/>
          <w:sz w:val="20"/>
          <w:szCs w:val="20"/>
          <w:rtl w:val="0"/>
        </w:rPr>
        <w:t xml:space="preserve">Started In 2016</w:t>
      </w:r>
    </w:p>
    <w:p w:rsidR="00000000" w:rsidDel="00000000" w:rsidP="00000000" w:rsidRDefault="00000000" w:rsidRPr="00000000" w14:paraId="00000025">
      <w:pPr>
        <w:numPr>
          <w:ilvl w:val="2"/>
          <w:numId w:val="3"/>
        </w:numPr>
        <w:ind w:left="2160" w:hanging="360"/>
        <w:rPr>
          <w:color w:val="0000ff"/>
          <w:sz w:val="20"/>
          <w:szCs w:val="20"/>
        </w:rPr>
      </w:pPr>
      <w:r w:rsidDel="00000000" w:rsidR="00000000" w:rsidRPr="00000000">
        <w:rPr>
          <w:color w:val="0000ff"/>
          <w:sz w:val="20"/>
          <w:szCs w:val="20"/>
          <w:rtl w:val="0"/>
        </w:rPr>
        <w:t xml:space="preserve">Goals:</w:t>
      </w:r>
    </w:p>
    <w:p w:rsidR="00000000" w:rsidDel="00000000" w:rsidP="00000000" w:rsidRDefault="00000000" w:rsidRPr="00000000" w14:paraId="00000026">
      <w:pPr>
        <w:numPr>
          <w:ilvl w:val="3"/>
          <w:numId w:val="3"/>
        </w:numPr>
        <w:ind w:left="2880" w:hanging="360"/>
        <w:rPr>
          <w:color w:val="0000ff"/>
          <w:sz w:val="20"/>
          <w:szCs w:val="20"/>
        </w:rPr>
      </w:pPr>
      <w:r w:rsidDel="00000000" w:rsidR="00000000" w:rsidRPr="00000000">
        <w:rPr>
          <w:color w:val="0000ff"/>
          <w:sz w:val="20"/>
          <w:szCs w:val="20"/>
          <w:rtl w:val="0"/>
        </w:rPr>
        <w:t xml:space="preserve">Assists in revitalizing targeted, non-thriving communities through comprehensive rehabilitation in small areas (20-60 parcels)</w:t>
      </w:r>
    </w:p>
    <w:p w:rsidR="00000000" w:rsidDel="00000000" w:rsidP="00000000" w:rsidRDefault="00000000" w:rsidRPr="00000000" w14:paraId="00000027">
      <w:pPr>
        <w:numPr>
          <w:ilvl w:val="3"/>
          <w:numId w:val="3"/>
        </w:numPr>
        <w:ind w:left="2880" w:hanging="360"/>
        <w:rPr>
          <w:color w:val="0000ff"/>
          <w:sz w:val="20"/>
          <w:szCs w:val="20"/>
        </w:rPr>
      </w:pPr>
      <w:r w:rsidDel="00000000" w:rsidR="00000000" w:rsidRPr="00000000">
        <w:rPr>
          <w:color w:val="0000ff"/>
          <w:sz w:val="20"/>
          <w:szCs w:val="20"/>
          <w:rtl w:val="0"/>
        </w:rPr>
        <w:t xml:space="preserve">Target successful rehabilitation of at least 80% of parcels in a defined area</w:t>
      </w:r>
    </w:p>
    <w:p w:rsidR="00000000" w:rsidDel="00000000" w:rsidP="00000000" w:rsidRDefault="00000000" w:rsidRPr="00000000" w14:paraId="00000028">
      <w:pPr>
        <w:numPr>
          <w:ilvl w:val="3"/>
          <w:numId w:val="3"/>
        </w:numPr>
        <w:ind w:left="2880" w:hanging="360"/>
        <w:rPr>
          <w:color w:val="0000ff"/>
          <w:sz w:val="20"/>
          <w:szCs w:val="20"/>
        </w:rPr>
      </w:pPr>
      <w:r w:rsidDel="00000000" w:rsidR="00000000" w:rsidRPr="00000000">
        <w:rPr>
          <w:color w:val="0000ff"/>
          <w:sz w:val="20"/>
          <w:szCs w:val="20"/>
          <w:rtl w:val="0"/>
        </w:rPr>
        <w:t xml:space="preserve">Provides tool to stabilize rapidly changing neighborhoods</w:t>
      </w:r>
    </w:p>
    <w:p w:rsidR="00000000" w:rsidDel="00000000" w:rsidP="00000000" w:rsidRDefault="00000000" w:rsidRPr="00000000" w14:paraId="00000029">
      <w:pPr>
        <w:numPr>
          <w:ilvl w:val="2"/>
          <w:numId w:val="3"/>
        </w:numPr>
        <w:ind w:left="2160" w:hanging="360"/>
        <w:rPr>
          <w:color w:val="0000ff"/>
          <w:sz w:val="20"/>
          <w:szCs w:val="20"/>
        </w:rPr>
      </w:pPr>
      <w:r w:rsidDel="00000000" w:rsidR="00000000" w:rsidRPr="00000000">
        <w:rPr>
          <w:color w:val="0000ff"/>
          <w:sz w:val="20"/>
          <w:szCs w:val="20"/>
          <w:rtl w:val="0"/>
        </w:rPr>
        <w:t xml:space="preserve">Approach:</w:t>
      </w:r>
    </w:p>
    <w:p w:rsidR="00000000" w:rsidDel="00000000" w:rsidP="00000000" w:rsidRDefault="00000000" w:rsidRPr="00000000" w14:paraId="0000002A">
      <w:pPr>
        <w:numPr>
          <w:ilvl w:val="3"/>
          <w:numId w:val="3"/>
        </w:numPr>
        <w:ind w:left="2880" w:hanging="360"/>
        <w:rPr>
          <w:color w:val="0000ff"/>
          <w:sz w:val="20"/>
          <w:szCs w:val="20"/>
        </w:rPr>
      </w:pPr>
      <w:r w:rsidDel="00000000" w:rsidR="00000000" w:rsidRPr="00000000">
        <w:rPr>
          <w:color w:val="0000ff"/>
          <w:sz w:val="20"/>
          <w:szCs w:val="20"/>
          <w:rtl w:val="0"/>
        </w:rPr>
        <w:t xml:space="preserve">Deferred zero interest forgivable loans based on income and ownership type</w:t>
      </w:r>
    </w:p>
    <w:p w:rsidR="00000000" w:rsidDel="00000000" w:rsidP="00000000" w:rsidRDefault="00000000" w:rsidRPr="00000000" w14:paraId="0000002B">
      <w:pPr>
        <w:numPr>
          <w:ilvl w:val="3"/>
          <w:numId w:val="3"/>
        </w:numPr>
        <w:ind w:left="2880" w:hanging="360"/>
        <w:rPr>
          <w:color w:val="0000ff"/>
          <w:sz w:val="20"/>
          <w:szCs w:val="20"/>
        </w:rPr>
      </w:pPr>
      <w:r w:rsidDel="00000000" w:rsidR="00000000" w:rsidRPr="00000000">
        <w:rPr>
          <w:color w:val="0000ff"/>
          <w:sz w:val="20"/>
          <w:szCs w:val="20"/>
          <w:rtl w:val="0"/>
        </w:rPr>
        <w:t xml:space="preserve">Provides housing rehabilitation services to a broad range of households</w:t>
      </w:r>
    </w:p>
    <w:p w:rsidR="00000000" w:rsidDel="00000000" w:rsidP="00000000" w:rsidRDefault="00000000" w:rsidRPr="00000000" w14:paraId="0000002C">
      <w:pPr>
        <w:numPr>
          <w:ilvl w:val="3"/>
          <w:numId w:val="3"/>
        </w:numPr>
        <w:ind w:left="2880" w:hanging="360"/>
        <w:rPr>
          <w:color w:val="0000ff"/>
          <w:sz w:val="20"/>
          <w:szCs w:val="20"/>
        </w:rPr>
      </w:pPr>
      <w:r w:rsidDel="00000000" w:rsidR="00000000" w:rsidRPr="00000000">
        <w:rPr>
          <w:color w:val="0000ff"/>
          <w:sz w:val="20"/>
          <w:szCs w:val="20"/>
          <w:rtl w:val="0"/>
        </w:rPr>
        <w:t xml:space="preserve">Helps low income families stay in their homes and enjoy safe, quality housing</w:t>
      </w:r>
    </w:p>
    <w:p w:rsidR="00000000" w:rsidDel="00000000" w:rsidP="00000000" w:rsidRDefault="00000000" w:rsidRPr="00000000" w14:paraId="0000002D">
      <w:pPr>
        <w:numPr>
          <w:ilvl w:val="3"/>
          <w:numId w:val="3"/>
        </w:numPr>
        <w:ind w:left="2880" w:hanging="360"/>
        <w:rPr>
          <w:color w:val="0000ff"/>
          <w:sz w:val="20"/>
          <w:szCs w:val="20"/>
        </w:rPr>
      </w:pPr>
      <w:r w:rsidDel="00000000" w:rsidR="00000000" w:rsidRPr="00000000">
        <w:rPr>
          <w:color w:val="0000ff"/>
          <w:sz w:val="20"/>
          <w:szCs w:val="20"/>
          <w:rtl w:val="0"/>
        </w:rPr>
        <w:t xml:space="preserve">Partnership with Legal Services to assist with legal property issues</w:t>
      </w:r>
    </w:p>
    <w:p w:rsidR="00000000" w:rsidDel="00000000" w:rsidP="00000000" w:rsidRDefault="00000000" w:rsidRPr="00000000" w14:paraId="0000002E">
      <w:pPr>
        <w:numPr>
          <w:ilvl w:val="2"/>
          <w:numId w:val="3"/>
        </w:numPr>
        <w:ind w:left="2160" w:hanging="360"/>
        <w:rPr>
          <w:color w:val="0000ff"/>
          <w:sz w:val="20"/>
          <w:szCs w:val="20"/>
        </w:rPr>
      </w:pPr>
      <w:r w:rsidDel="00000000" w:rsidR="00000000" w:rsidRPr="00000000">
        <w:rPr>
          <w:color w:val="0000ff"/>
          <w:sz w:val="20"/>
          <w:szCs w:val="20"/>
          <w:rtl w:val="0"/>
        </w:rPr>
        <w:t xml:space="preserve">Targeted Areas:</w:t>
      </w:r>
    </w:p>
    <w:p w:rsidR="00000000" w:rsidDel="00000000" w:rsidP="00000000" w:rsidRDefault="00000000" w:rsidRPr="00000000" w14:paraId="0000002F">
      <w:pPr>
        <w:numPr>
          <w:ilvl w:val="3"/>
          <w:numId w:val="3"/>
        </w:numPr>
        <w:ind w:left="2880" w:hanging="360"/>
        <w:rPr>
          <w:color w:val="0000ff"/>
          <w:sz w:val="20"/>
          <w:szCs w:val="20"/>
        </w:rPr>
      </w:pPr>
      <w:r w:rsidDel="00000000" w:rsidR="00000000" w:rsidRPr="00000000">
        <w:rPr>
          <w:color w:val="0000ff"/>
          <w:sz w:val="20"/>
          <w:szCs w:val="20"/>
          <w:rtl w:val="0"/>
        </w:rPr>
        <w:t xml:space="preserve">Camp Greene</w:t>
      </w:r>
    </w:p>
    <w:p w:rsidR="00000000" w:rsidDel="00000000" w:rsidP="00000000" w:rsidRDefault="00000000" w:rsidRPr="00000000" w14:paraId="00000030">
      <w:pPr>
        <w:numPr>
          <w:ilvl w:val="3"/>
          <w:numId w:val="3"/>
        </w:numPr>
        <w:ind w:left="2880" w:hanging="360"/>
        <w:rPr>
          <w:color w:val="0000ff"/>
          <w:sz w:val="20"/>
          <w:szCs w:val="20"/>
        </w:rPr>
      </w:pPr>
      <w:r w:rsidDel="00000000" w:rsidR="00000000" w:rsidRPr="00000000">
        <w:rPr>
          <w:color w:val="0000ff"/>
          <w:sz w:val="20"/>
          <w:szCs w:val="20"/>
          <w:rtl w:val="0"/>
        </w:rPr>
        <w:t xml:space="preserve">Lincoln Heights</w:t>
      </w:r>
    </w:p>
    <w:p w:rsidR="00000000" w:rsidDel="00000000" w:rsidP="00000000" w:rsidRDefault="00000000" w:rsidRPr="00000000" w14:paraId="00000031">
      <w:pPr>
        <w:numPr>
          <w:ilvl w:val="2"/>
          <w:numId w:val="3"/>
        </w:numPr>
        <w:ind w:left="2160" w:hanging="360"/>
        <w:rPr>
          <w:color w:val="0000ff"/>
          <w:sz w:val="20"/>
          <w:szCs w:val="20"/>
        </w:rPr>
      </w:pPr>
      <w:r w:rsidDel="00000000" w:rsidR="00000000" w:rsidRPr="00000000">
        <w:rPr>
          <w:color w:val="0000ff"/>
          <w:sz w:val="20"/>
          <w:szCs w:val="20"/>
          <w:rtl w:val="0"/>
        </w:rPr>
        <w:t xml:space="preserve">Status</w:t>
      </w:r>
    </w:p>
    <w:p w:rsidR="00000000" w:rsidDel="00000000" w:rsidP="00000000" w:rsidRDefault="00000000" w:rsidRPr="00000000" w14:paraId="00000032">
      <w:pPr>
        <w:numPr>
          <w:ilvl w:val="3"/>
          <w:numId w:val="3"/>
        </w:numPr>
        <w:ind w:left="2880" w:hanging="360"/>
        <w:rPr>
          <w:color w:val="0000ff"/>
          <w:sz w:val="20"/>
          <w:szCs w:val="20"/>
        </w:rPr>
      </w:pPr>
      <w:r w:rsidDel="00000000" w:rsidR="00000000" w:rsidRPr="00000000">
        <w:rPr>
          <w:color w:val="0000ff"/>
          <w:sz w:val="20"/>
          <w:szCs w:val="20"/>
          <w:rtl w:val="0"/>
        </w:rPr>
        <w:t xml:space="preserve">160 Surveys Returned</w:t>
      </w:r>
    </w:p>
    <w:p w:rsidR="00000000" w:rsidDel="00000000" w:rsidP="00000000" w:rsidRDefault="00000000" w:rsidRPr="00000000" w14:paraId="00000033">
      <w:pPr>
        <w:numPr>
          <w:ilvl w:val="3"/>
          <w:numId w:val="3"/>
        </w:numPr>
        <w:ind w:left="2880" w:hanging="360"/>
        <w:rPr>
          <w:color w:val="0000ff"/>
          <w:sz w:val="20"/>
          <w:szCs w:val="20"/>
        </w:rPr>
      </w:pPr>
      <w:r w:rsidDel="00000000" w:rsidR="00000000" w:rsidRPr="00000000">
        <w:rPr>
          <w:color w:val="0000ff"/>
          <w:sz w:val="20"/>
          <w:szCs w:val="20"/>
          <w:rtl w:val="0"/>
        </w:rPr>
        <w:t xml:space="preserve">36 Units Inspected</w:t>
      </w:r>
    </w:p>
    <w:p w:rsidR="00000000" w:rsidDel="00000000" w:rsidP="00000000" w:rsidRDefault="00000000" w:rsidRPr="00000000" w14:paraId="00000034">
      <w:pPr>
        <w:numPr>
          <w:ilvl w:val="3"/>
          <w:numId w:val="3"/>
        </w:numPr>
        <w:ind w:left="2880" w:hanging="360"/>
        <w:rPr>
          <w:color w:val="0000ff"/>
          <w:sz w:val="20"/>
          <w:szCs w:val="20"/>
        </w:rPr>
      </w:pPr>
      <w:r w:rsidDel="00000000" w:rsidR="00000000" w:rsidRPr="00000000">
        <w:rPr>
          <w:color w:val="0000ff"/>
          <w:sz w:val="20"/>
          <w:szCs w:val="20"/>
          <w:rtl w:val="0"/>
        </w:rPr>
        <w:t xml:space="preserve">21 Under Contract</w:t>
      </w:r>
    </w:p>
    <w:p w:rsidR="00000000" w:rsidDel="00000000" w:rsidP="00000000" w:rsidRDefault="00000000" w:rsidRPr="00000000" w14:paraId="00000035">
      <w:pPr>
        <w:numPr>
          <w:ilvl w:val="3"/>
          <w:numId w:val="3"/>
        </w:numPr>
        <w:ind w:left="2880" w:hanging="360"/>
        <w:rPr>
          <w:color w:val="0000ff"/>
          <w:sz w:val="20"/>
          <w:szCs w:val="20"/>
        </w:rPr>
      </w:pPr>
      <w:r w:rsidDel="00000000" w:rsidR="00000000" w:rsidRPr="00000000">
        <w:rPr>
          <w:color w:val="0000ff"/>
          <w:sz w:val="20"/>
          <w:szCs w:val="20"/>
          <w:rtl w:val="0"/>
        </w:rPr>
        <w:t xml:space="preserve">$803,300</w:t>
      </w:r>
    </w:p>
    <w:p w:rsidR="00000000" w:rsidDel="00000000" w:rsidP="00000000" w:rsidRDefault="00000000" w:rsidRPr="00000000" w14:paraId="00000036">
      <w:pPr>
        <w:numPr>
          <w:ilvl w:val="1"/>
          <w:numId w:val="3"/>
        </w:numPr>
        <w:ind w:left="1440" w:hanging="360"/>
        <w:rPr>
          <w:color w:val="0000ff"/>
          <w:sz w:val="20"/>
          <w:szCs w:val="20"/>
        </w:rPr>
      </w:pPr>
      <w:r w:rsidDel="00000000" w:rsidR="00000000" w:rsidRPr="00000000">
        <w:rPr>
          <w:color w:val="0000ff"/>
          <w:sz w:val="20"/>
          <w:szCs w:val="20"/>
          <w:rtl w:val="0"/>
        </w:rPr>
        <w:t xml:space="preserve">Neighborhood Matching Grants</w:t>
      </w:r>
    </w:p>
    <w:p w:rsidR="00000000" w:rsidDel="00000000" w:rsidP="00000000" w:rsidRDefault="00000000" w:rsidRPr="00000000" w14:paraId="00000037">
      <w:pPr>
        <w:rPr>
          <w:color w:val="0000ff"/>
          <w:sz w:val="20"/>
          <w:szCs w:val="20"/>
        </w:rPr>
      </w:pPr>
      <w:r w:rsidDel="00000000" w:rsidR="00000000" w:rsidRPr="00000000">
        <w:rPr>
          <w:rtl w:val="0"/>
        </w:rPr>
      </w:r>
    </w:p>
    <w:p w:rsidR="00000000" w:rsidDel="00000000" w:rsidP="00000000" w:rsidRDefault="00000000" w:rsidRPr="00000000" w14:paraId="00000038">
      <w:pPr>
        <w:numPr>
          <w:ilvl w:val="0"/>
          <w:numId w:val="3"/>
        </w:numPr>
        <w:ind w:left="720" w:hanging="360"/>
        <w:rPr>
          <w:b w:val="1"/>
          <w:sz w:val="20"/>
          <w:szCs w:val="20"/>
        </w:rPr>
      </w:pPr>
      <w:r w:rsidDel="00000000" w:rsidR="00000000" w:rsidRPr="00000000">
        <w:rPr>
          <w:b w:val="1"/>
          <w:sz w:val="20"/>
          <w:szCs w:val="20"/>
          <w:rtl w:val="0"/>
        </w:rPr>
        <w:t xml:space="preserve">HousingCLT (Landlord Consortium Program)</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numPr>
          <w:ilvl w:val="0"/>
          <w:numId w:val="3"/>
        </w:numPr>
        <w:ind w:left="720" w:hanging="360"/>
        <w:rPr>
          <w:sz w:val="20"/>
          <w:szCs w:val="20"/>
        </w:rPr>
      </w:pPr>
      <w:r w:rsidDel="00000000" w:rsidR="00000000" w:rsidRPr="00000000">
        <w:rPr>
          <w:sz w:val="20"/>
          <w:szCs w:val="20"/>
          <w:rtl w:val="0"/>
        </w:rPr>
        <w:t xml:space="preserve">State Programs</w:t>
      </w:r>
    </w:p>
    <w:p w:rsidR="00000000" w:rsidDel="00000000" w:rsidP="00000000" w:rsidRDefault="00000000" w:rsidRPr="00000000" w14:paraId="0000003B">
      <w:pPr>
        <w:numPr>
          <w:ilvl w:val="1"/>
          <w:numId w:val="3"/>
        </w:numPr>
        <w:ind w:left="1440" w:hanging="360"/>
        <w:rPr>
          <w:sz w:val="20"/>
          <w:szCs w:val="20"/>
        </w:rPr>
      </w:pPr>
      <w:r w:rsidDel="00000000" w:rsidR="00000000" w:rsidRPr="00000000">
        <w:rPr>
          <w:sz w:val="20"/>
          <w:szCs w:val="20"/>
          <w:rtl w:val="0"/>
        </w:rPr>
        <w:t xml:space="preserve">Low Income Homestead Exclusion</w:t>
      </w:r>
    </w:p>
    <w:p w:rsidR="00000000" w:rsidDel="00000000" w:rsidP="00000000" w:rsidRDefault="00000000" w:rsidRPr="00000000" w14:paraId="0000003C">
      <w:pPr>
        <w:numPr>
          <w:ilvl w:val="2"/>
          <w:numId w:val="3"/>
        </w:numPr>
        <w:ind w:left="2160" w:hanging="360"/>
        <w:rPr>
          <w:sz w:val="20"/>
          <w:szCs w:val="20"/>
        </w:rPr>
      </w:pPr>
      <w:r w:rsidDel="00000000" w:rsidR="00000000" w:rsidRPr="00000000">
        <w:rPr>
          <w:sz w:val="20"/>
          <w:szCs w:val="20"/>
          <w:rtl w:val="0"/>
        </w:rPr>
        <w:t xml:space="preserve">&gt;65 or Permanently Disabled</w:t>
      </w:r>
    </w:p>
    <w:p w:rsidR="00000000" w:rsidDel="00000000" w:rsidP="00000000" w:rsidRDefault="00000000" w:rsidRPr="00000000" w14:paraId="0000003D">
      <w:pPr>
        <w:numPr>
          <w:ilvl w:val="2"/>
          <w:numId w:val="3"/>
        </w:numPr>
        <w:ind w:left="2160" w:hanging="360"/>
        <w:rPr>
          <w:sz w:val="20"/>
          <w:szCs w:val="20"/>
        </w:rPr>
      </w:pPr>
      <w:r w:rsidDel="00000000" w:rsidR="00000000" w:rsidRPr="00000000">
        <w:rPr>
          <w:sz w:val="20"/>
          <w:szCs w:val="20"/>
          <w:rtl w:val="0"/>
        </w:rPr>
        <w:t xml:space="preserve">Taxable Value exclusion of $29,500 or 50% (whichever is greater)</w:t>
      </w:r>
    </w:p>
    <w:p w:rsidR="00000000" w:rsidDel="00000000" w:rsidP="00000000" w:rsidRDefault="00000000" w:rsidRPr="00000000" w14:paraId="0000003E">
      <w:pPr>
        <w:numPr>
          <w:ilvl w:val="2"/>
          <w:numId w:val="3"/>
        </w:numPr>
        <w:ind w:left="2160" w:hanging="360"/>
        <w:rPr>
          <w:sz w:val="20"/>
          <w:szCs w:val="20"/>
        </w:rPr>
      </w:pPr>
      <w:r w:rsidDel="00000000" w:rsidR="00000000" w:rsidRPr="00000000">
        <w:rPr>
          <w:sz w:val="20"/>
          <w:szCs w:val="20"/>
          <w:rtl w:val="0"/>
        </w:rPr>
        <w:t xml:space="preserve">Income &lt; 2017 $29,500 (approx. 40% AMI)</w:t>
      </w:r>
    </w:p>
    <w:p w:rsidR="00000000" w:rsidDel="00000000" w:rsidP="00000000" w:rsidRDefault="00000000" w:rsidRPr="00000000" w14:paraId="0000003F">
      <w:pPr>
        <w:numPr>
          <w:ilvl w:val="2"/>
          <w:numId w:val="3"/>
        </w:numPr>
        <w:ind w:left="2160" w:hanging="360"/>
        <w:rPr>
          <w:sz w:val="20"/>
          <w:szCs w:val="20"/>
        </w:rPr>
      </w:pPr>
      <w:r w:rsidDel="00000000" w:rsidR="00000000" w:rsidRPr="00000000">
        <w:rPr>
          <w:sz w:val="20"/>
          <w:szCs w:val="20"/>
          <w:rtl w:val="0"/>
        </w:rPr>
        <w:t xml:space="preserve">Deferred Taxes - until sale of the property</w:t>
      </w:r>
    </w:p>
    <w:p w:rsidR="00000000" w:rsidDel="00000000" w:rsidP="00000000" w:rsidRDefault="00000000" w:rsidRPr="00000000" w14:paraId="00000040">
      <w:pPr>
        <w:numPr>
          <w:ilvl w:val="3"/>
          <w:numId w:val="3"/>
        </w:numPr>
        <w:ind w:left="2880" w:hanging="360"/>
        <w:rPr>
          <w:sz w:val="20"/>
          <w:szCs w:val="20"/>
        </w:rPr>
      </w:pPr>
      <w:r w:rsidDel="00000000" w:rsidR="00000000" w:rsidRPr="00000000">
        <w:rPr>
          <w:sz w:val="20"/>
          <w:szCs w:val="20"/>
          <w:rtl w:val="0"/>
        </w:rPr>
        <w:t xml:space="preserve">Income &lt;$44,250 (approx. 60% AMI)</w:t>
      </w:r>
    </w:p>
    <w:p w:rsidR="00000000" w:rsidDel="00000000" w:rsidP="00000000" w:rsidRDefault="00000000" w:rsidRPr="00000000" w14:paraId="00000041">
      <w:pPr>
        <w:numPr>
          <w:ilvl w:val="3"/>
          <w:numId w:val="3"/>
        </w:numPr>
        <w:ind w:left="2880" w:hanging="360"/>
        <w:rPr>
          <w:sz w:val="20"/>
          <w:szCs w:val="20"/>
        </w:rPr>
      </w:pPr>
      <w:r w:rsidDel="00000000" w:rsidR="00000000" w:rsidRPr="00000000">
        <w:rPr>
          <w:sz w:val="20"/>
          <w:szCs w:val="20"/>
          <w:rtl w:val="0"/>
        </w:rPr>
        <w:t xml:space="preserve">Owner &gt;= 5 years</w:t>
      </w:r>
    </w:p>
    <w:p w:rsidR="00000000" w:rsidDel="00000000" w:rsidP="00000000" w:rsidRDefault="00000000" w:rsidRPr="00000000" w14:paraId="00000042">
      <w:pPr>
        <w:numPr>
          <w:ilvl w:val="3"/>
          <w:numId w:val="3"/>
        </w:numPr>
        <w:ind w:left="2880" w:hanging="360"/>
        <w:rPr>
          <w:sz w:val="20"/>
          <w:szCs w:val="20"/>
        </w:rPr>
      </w:pPr>
      <w:r w:rsidDel="00000000" w:rsidR="00000000" w:rsidRPr="00000000">
        <w:rPr>
          <w:sz w:val="20"/>
          <w:szCs w:val="20"/>
          <w:rtl w:val="0"/>
        </w:rPr>
        <w:t xml:space="preserve">Must apply again annually</w:t>
      </w:r>
    </w:p>
    <w:p w:rsidR="00000000" w:rsidDel="00000000" w:rsidP="00000000" w:rsidRDefault="00000000" w:rsidRPr="00000000" w14:paraId="00000043">
      <w:pPr>
        <w:numPr>
          <w:ilvl w:val="1"/>
          <w:numId w:val="3"/>
        </w:numPr>
        <w:ind w:left="1440" w:hanging="360"/>
        <w:rPr>
          <w:sz w:val="20"/>
          <w:szCs w:val="20"/>
        </w:rPr>
      </w:pPr>
      <w:r w:rsidDel="00000000" w:rsidR="00000000" w:rsidRPr="00000000">
        <w:rPr>
          <w:sz w:val="20"/>
          <w:szCs w:val="20"/>
          <w:rtl w:val="0"/>
        </w:rPr>
        <w:t xml:space="preserve">Disabled Veterans Homestead Exclusion</w:t>
      </w:r>
    </w:p>
    <w:p w:rsidR="00000000" w:rsidDel="00000000" w:rsidP="00000000" w:rsidRDefault="00000000" w:rsidRPr="00000000" w14:paraId="00000044">
      <w:pPr>
        <w:numPr>
          <w:ilvl w:val="2"/>
          <w:numId w:val="3"/>
        </w:numPr>
        <w:ind w:left="2160" w:hanging="360"/>
        <w:rPr>
          <w:sz w:val="20"/>
          <w:szCs w:val="20"/>
        </w:rPr>
      </w:pPr>
      <w:r w:rsidDel="00000000" w:rsidR="00000000" w:rsidRPr="00000000">
        <w:rPr>
          <w:sz w:val="20"/>
          <w:szCs w:val="20"/>
          <w:rtl w:val="0"/>
        </w:rPr>
        <w:t xml:space="preserve">Honorably Discharged</w:t>
      </w:r>
    </w:p>
    <w:p w:rsidR="00000000" w:rsidDel="00000000" w:rsidP="00000000" w:rsidRDefault="00000000" w:rsidRPr="00000000" w14:paraId="00000045">
      <w:pPr>
        <w:numPr>
          <w:ilvl w:val="2"/>
          <w:numId w:val="3"/>
        </w:numPr>
        <w:ind w:left="2160" w:hanging="360"/>
        <w:rPr>
          <w:sz w:val="20"/>
          <w:szCs w:val="20"/>
        </w:rPr>
      </w:pPr>
      <w:r w:rsidDel="00000000" w:rsidR="00000000" w:rsidRPr="00000000">
        <w:rPr>
          <w:sz w:val="20"/>
          <w:szCs w:val="20"/>
          <w:rtl w:val="0"/>
        </w:rPr>
        <w:t xml:space="preserve">Disability is Service Related</w:t>
      </w:r>
    </w:p>
    <w:p w:rsidR="00000000" w:rsidDel="00000000" w:rsidP="00000000" w:rsidRDefault="00000000" w:rsidRPr="00000000" w14:paraId="00000046">
      <w:pPr>
        <w:numPr>
          <w:ilvl w:val="2"/>
          <w:numId w:val="3"/>
        </w:numPr>
        <w:ind w:left="2160" w:hanging="360"/>
        <w:rPr>
          <w:sz w:val="20"/>
          <w:szCs w:val="20"/>
        </w:rPr>
      </w:pPr>
      <w:r w:rsidDel="00000000" w:rsidR="00000000" w:rsidRPr="00000000">
        <w:rPr>
          <w:sz w:val="20"/>
          <w:szCs w:val="20"/>
          <w:rtl w:val="0"/>
        </w:rPr>
        <w:t xml:space="preserve">NO AGE or INCOME Requirement</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numPr>
          <w:ilvl w:val="0"/>
          <w:numId w:val="3"/>
        </w:numPr>
        <w:ind w:left="720" w:hanging="360"/>
        <w:rPr>
          <w:sz w:val="20"/>
          <w:szCs w:val="20"/>
        </w:rPr>
      </w:pPr>
      <w:r w:rsidDel="00000000" w:rsidR="00000000" w:rsidRPr="00000000">
        <w:rPr>
          <w:sz w:val="20"/>
          <w:szCs w:val="20"/>
          <w:rtl w:val="0"/>
        </w:rPr>
        <w:t xml:space="preserve">Resources for Landlords and Developers</w:t>
      </w:r>
    </w:p>
    <w:p w:rsidR="00000000" w:rsidDel="00000000" w:rsidP="00000000" w:rsidRDefault="00000000" w:rsidRPr="00000000" w14:paraId="00000049">
      <w:pPr>
        <w:numPr>
          <w:ilvl w:val="1"/>
          <w:numId w:val="3"/>
        </w:numPr>
        <w:ind w:left="1440" w:hanging="360"/>
        <w:rPr>
          <w:sz w:val="20"/>
          <w:szCs w:val="20"/>
        </w:rPr>
      </w:pPr>
      <w:r w:rsidDel="00000000" w:rsidR="00000000" w:rsidRPr="00000000">
        <w:rPr>
          <w:sz w:val="20"/>
          <w:szCs w:val="20"/>
          <w:rtl w:val="0"/>
        </w:rPr>
        <w:t xml:space="preserve">Community Development Block Grant (CDBG)</w:t>
      </w:r>
    </w:p>
    <w:p w:rsidR="00000000" w:rsidDel="00000000" w:rsidP="00000000" w:rsidRDefault="00000000" w:rsidRPr="00000000" w14:paraId="0000004A">
      <w:pPr>
        <w:numPr>
          <w:ilvl w:val="1"/>
          <w:numId w:val="3"/>
        </w:numPr>
        <w:ind w:left="1440" w:hanging="360"/>
        <w:rPr>
          <w:sz w:val="20"/>
          <w:szCs w:val="20"/>
        </w:rPr>
      </w:pPr>
      <w:r w:rsidDel="00000000" w:rsidR="00000000" w:rsidRPr="00000000">
        <w:rPr>
          <w:sz w:val="20"/>
          <w:szCs w:val="20"/>
          <w:rtl w:val="0"/>
        </w:rPr>
        <w:t xml:space="preserve">Emergency Solutions Grant</w:t>
      </w:r>
    </w:p>
    <w:p w:rsidR="00000000" w:rsidDel="00000000" w:rsidP="00000000" w:rsidRDefault="00000000" w:rsidRPr="00000000" w14:paraId="0000004B">
      <w:pPr>
        <w:numPr>
          <w:ilvl w:val="1"/>
          <w:numId w:val="3"/>
        </w:numPr>
        <w:ind w:left="1440" w:hanging="360"/>
        <w:rPr>
          <w:sz w:val="20"/>
          <w:szCs w:val="20"/>
        </w:rPr>
      </w:pPr>
      <w:r w:rsidDel="00000000" w:rsidR="00000000" w:rsidRPr="00000000">
        <w:rPr>
          <w:sz w:val="20"/>
          <w:szCs w:val="20"/>
          <w:rtl w:val="0"/>
        </w:rPr>
        <w:t xml:space="preserve">The HOME Program</w:t>
      </w:r>
    </w:p>
    <w:p w:rsidR="00000000" w:rsidDel="00000000" w:rsidP="00000000" w:rsidRDefault="00000000" w:rsidRPr="00000000" w14:paraId="0000004C">
      <w:pPr>
        <w:numPr>
          <w:ilvl w:val="1"/>
          <w:numId w:val="3"/>
        </w:numPr>
        <w:ind w:left="1440" w:hanging="360"/>
        <w:rPr>
          <w:sz w:val="20"/>
          <w:szCs w:val="20"/>
        </w:rPr>
      </w:pPr>
      <w:r w:rsidDel="00000000" w:rsidR="00000000" w:rsidRPr="00000000">
        <w:rPr>
          <w:sz w:val="20"/>
          <w:szCs w:val="20"/>
          <w:rtl w:val="0"/>
        </w:rPr>
        <w:t xml:space="preserve">Housing Opportunities for Persons with HIV/AIDS (HOPWA)</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harlotte.maps.arcgis.com/apps/webappviewer/index.html?id=2e6c18b702084166aa6941f88f613969" TargetMode="External"/><Relationship Id="rId7" Type="http://schemas.openxmlformats.org/officeDocument/2006/relationships/hyperlink" Target="http://charlottenc.gov/HNS/Housing/Homeowners/Pages/Rehabilit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